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AD" w:rsidRDefault="00851EAD" w:rsidP="00851EAD">
      <w:pPr>
        <w:spacing w:line="240" w:lineRule="atLeast"/>
        <w:jc w:val="center"/>
        <w:rPr>
          <w:color w:val="000000"/>
          <w:sz w:val="20"/>
          <w:szCs w:val="20"/>
        </w:rPr>
      </w:pPr>
      <w:r>
        <w:rPr>
          <w:color w:val="000000"/>
          <w:sz w:val="18"/>
          <w:szCs w:val="18"/>
        </w:rPr>
        <w:t>TAŞINMAZ KİRAYA VERİLECEKTİR</w:t>
      </w:r>
    </w:p>
    <w:p w:rsidR="00851EAD" w:rsidRDefault="00851EAD" w:rsidP="00851EAD">
      <w:pPr>
        <w:spacing w:line="240" w:lineRule="atLeast"/>
        <w:ind w:firstLine="567"/>
        <w:jc w:val="both"/>
        <w:rPr>
          <w:color w:val="000000"/>
          <w:sz w:val="20"/>
          <w:szCs w:val="20"/>
        </w:rPr>
      </w:pPr>
      <w:r>
        <w:rPr>
          <w:b/>
          <w:bCs/>
          <w:color w:val="0000CC"/>
          <w:sz w:val="18"/>
          <w:szCs w:val="18"/>
        </w:rPr>
        <w:t>Edirne Vakıflar Bölge Müdürlüğünden:</w:t>
      </w:r>
    </w:p>
    <w:p w:rsidR="00851EAD" w:rsidRDefault="00851EAD" w:rsidP="00851EAD">
      <w:pPr>
        <w:spacing w:line="240" w:lineRule="atLeast"/>
        <w:ind w:firstLine="567"/>
        <w:jc w:val="both"/>
        <w:rPr>
          <w:color w:val="000000"/>
          <w:sz w:val="20"/>
          <w:szCs w:val="20"/>
        </w:rPr>
      </w:pPr>
      <w:r>
        <w:rPr>
          <w:b/>
          <w:bCs/>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429"/>
        <w:gridCol w:w="1050"/>
        <w:gridCol w:w="584"/>
        <w:gridCol w:w="545"/>
        <w:gridCol w:w="1078"/>
        <w:gridCol w:w="506"/>
        <w:gridCol w:w="879"/>
        <w:gridCol w:w="678"/>
        <w:gridCol w:w="553"/>
        <w:gridCol w:w="875"/>
        <w:gridCol w:w="1099"/>
        <w:gridCol w:w="797"/>
        <w:gridCol w:w="840"/>
        <w:gridCol w:w="840"/>
        <w:gridCol w:w="587"/>
      </w:tblGrid>
      <w:tr w:rsidR="00851EAD" w:rsidTr="00851EAD">
        <w:trPr>
          <w:trHeight w:val="20"/>
        </w:trPr>
        <w:tc>
          <w:tcPr>
            <w:tcW w:w="429"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Sıra</w:t>
            </w:r>
          </w:p>
          <w:p w:rsidR="00851EAD" w:rsidRDefault="00851EAD">
            <w:pPr>
              <w:spacing w:line="240" w:lineRule="atLeast"/>
              <w:jc w:val="center"/>
              <w:rPr>
                <w:sz w:val="20"/>
                <w:szCs w:val="20"/>
              </w:rPr>
            </w:pPr>
            <w:r>
              <w:rPr>
                <w:rFonts w:ascii="Arial Narrow" w:hAnsi="Arial Narrow"/>
                <w:sz w:val="16"/>
                <w:szCs w:val="16"/>
              </w:rPr>
              <w:t>No</w:t>
            </w:r>
          </w:p>
        </w:tc>
        <w:tc>
          <w:tcPr>
            <w:tcW w:w="10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Dosya No</w:t>
            </w:r>
          </w:p>
        </w:tc>
        <w:tc>
          <w:tcPr>
            <w:tcW w:w="584"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İli</w:t>
            </w:r>
          </w:p>
        </w:tc>
        <w:tc>
          <w:tcPr>
            <w:tcW w:w="545"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İlçesi</w:t>
            </w:r>
          </w:p>
        </w:tc>
        <w:tc>
          <w:tcPr>
            <w:tcW w:w="107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Mevkii</w:t>
            </w:r>
          </w:p>
        </w:tc>
        <w:tc>
          <w:tcPr>
            <w:tcW w:w="506"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Cinsi</w:t>
            </w:r>
          </w:p>
        </w:tc>
        <w:tc>
          <w:tcPr>
            <w:tcW w:w="879"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Parselasyon</w:t>
            </w:r>
          </w:p>
          <w:p w:rsidR="00851EAD" w:rsidRDefault="00851EAD">
            <w:pPr>
              <w:spacing w:line="240" w:lineRule="atLeast"/>
              <w:jc w:val="center"/>
              <w:rPr>
                <w:sz w:val="20"/>
                <w:szCs w:val="20"/>
              </w:rPr>
            </w:pPr>
            <w:r>
              <w:rPr>
                <w:rFonts w:ascii="Arial Narrow" w:hAnsi="Arial Narrow"/>
                <w:sz w:val="16"/>
                <w:szCs w:val="16"/>
              </w:rPr>
              <w:t>No</w:t>
            </w:r>
          </w:p>
        </w:tc>
        <w:tc>
          <w:tcPr>
            <w:tcW w:w="67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Ada</w:t>
            </w:r>
          </w:p>
          <w:p w:rsidR="00851EAD" w:rsidRDefault="00851EAD">
            <w:pPr>
              <w:spacing w:line="240" w:lineRule="atLeast"/>
              <w:jc w:val="center"/>
              <w:rPr>
                <w:sz w:val="20"/>
                <w:szCs w:val="20"/>
              </w:rPr>
            </w:pPr>
            <w:r>
              <w:rPr>
                <w:rFonts w:ascii="Arial Narrow" w:hAnsi="Arial Narrow"/>
                <w:sz w:val="16"/>
                <w:szCs w:val="16"/>
              </w:rPr>
              <w:t>No</w:t>
            </w:r>
          </w:p>
        </w:tc>
        <w:tc>
          <w:tcPr>
            <w:tcW w:w="55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Parsel</w:t>
            </w:r>
          </w:p>
          <w:p w:rsidR="00851EAD" w:rsidRDefault="00851EAD">
            <w:pPr>
              <w:spacing w:line="240" w:lineRule="atLeast"/>
              <w:jc w:val="center"/>
              <w:rPr>
                <w:sz w:val="20"/>
                <w:szCs w:val="20"/>
              </w:rPr>
            </w:pPr>
            <w:r>
              <w:rPr>
                <w:rFonts w:ascii="Arial Narrow" w:hAnsi="Arial Narrow"/>
                <w:sz w:val="16"/>
                <w:szCs w:val="16"/>
              </w:rPr>
              <w:t>No</w:t>
            </w:r>
          </w:p>
        </w:tc>
        <w:tc>
          <w:tcPr>
            <w:tcW w:w="875"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Alanı</w:t>
            </w:r>
          </w:p>
          <w:p w:rsidR="00851EAD" w:rsidRDefault="00851EAD">
            <w:pPr>
              <w:spacing w:line="240" w:lineRule="atLeast"/>
              <w:jc w:val="center"/>
              <w:rPr>
                <w:sz w:val="20"/>
                <w:szCs w:val="20"/>
              </w:rPr>
            </w:pPr>
            <w:r>
              <w:rPr>
                <w:rFonts w:ascii="Arial Narrow" w:hAnsi="Arial Narrow"/>
                <w:sz w:val="16"/>
                <w:szCs w:val="16"/>
              </w:rPr>
              <w:t>m</w:t>
            </w:r>
            <w:r>
              <w:rPr>
                <w:rFonts w:ascii="Arial Narrow" w:hAnsi="Arial Narrow"/>
                <w:sz w:val="16"/>
                <w:szCs w:val="16"/>
                <w:vertAlign w:val="superscript"/>
              </w:rPr>
              <w:t>2</w:t>
            </w:r>
          </w:p>
        </w:tc>
        <w:tc>
          <w:tcPr>
            <w:tcW w:w="109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Yıllık Muhammen Kira Bedeli (TL)</w:t>
            </w:r>
          </w:p>
        </w:tc>
        <w:tc>
          <w:tcPr>
            <w:tcW w:w="163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Teminat (TL)</w:t>
            </w:r>
          </w:p>
        </w:tc>
        <w:tc>
          <w:tcPr>
            <w:tcW w:w="84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İhale</w:t>
            </w:r>
          </w:p>
          <w:p w:rsidR="00851EAD" w:rsidRDefault="00851EAD">
            <w:pPr>
              <w:spacing w:line="240" w:lineRule="atLeast"/>
              <w:jc w:val="center"/>
              <w:rPr>
                <w:sz w:val="20"/>
                <w:szCs w:val="20"/>
              </w:rPr>
            </w:pPr>
            <w:r>
              <w:rPr>
                <w:rFonts w:ascii="Arial Narrow" w:hAnsi="Arial Narrow"/>
                <w:sz w:val="16"/>
                <w:szCs w:val="16"/>
              </w:rPr>
              <w:t>Tarihi</w:t>
            </w:r>
          </w:p>
        </w:tc>
        <w:tc>
          <w:tcPr>
            <w:tcW w:w="587"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İhale</w:t>
            </w:r>
          </w:p>
          <w:p w:rsidR="00851EAD" w:rsidRDefault="00851EAD">
            <w:pPr>
              <w:spacing w:line="240" w:lineRule="atLeast"/>
              <w:jc w:val="center"/>
              <w:rPr>
                <w:sz w:val="20"/>
                <w:szCs w:val="20"/>
              </w:rPr>
            </w:pPr>
            <w:r>
              <w:rPr>
                <w:rFonts w:ascii="Arial Narrow" w:hAnsi="Arial Narrow"/>
                <w:sz w:val="16"/>
                <w:szCs w:val="16"/>
              </w:rPr>
              <w:t>Saati</w:t>
            </w:r>
          </w:p>
        </w:tc>
      </w:tr>
      <w:tr w:rsidR="00851EAD" w:rsidTr="00851EAD">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7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Geçici %3</w:t>
            </w:r>
          </w:p>
        </w:tc>
        <w:tc>
          <w:tcPr>
            <w:tcW w:w="8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51EAD" w:rsidRDefault="00851EAD">
            <w:pPr>
              <w:spacing w:line="240" w:lineRule="atLeast"/>
              <w:jc w:val="center"/>
              <w:rPr>
                <w:sz w:val="20"/>
                <w:szCs w:val="20"/>
              </w:rPr>
            </w:pPr>
            <w:r>
              <w:rPr>
                <w:rFonts w:ascii="Arial Narrow" w:hAnsi="Arial Narrow"/>
                <w:sz w:val="16"/>
                <w:szCs w:val="16"/>
              </w:rPr>
              <w:t>Ek %20</w:t>
            </w: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EAD" w:rsidRDefault="00851EAD">
            <w:pPr>
              <w:rPr>
                <w:sz w:val="20"/>
                <w:szCs w:val="20"/>
              </w:rPr>
            </w:pPr>
          </w:p>
        </w:tc>
      </w:tr>
      <w:tr w:rsidR="00851EAD" w:rsidTr="00851EAD">
        <w:trPr>
          <w:trHeight w:val="20"/>
        </w:trPr>
        <w:tc>
          <w:tcPr>
            <w:tcW w:w="4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1</w:t>
            </w: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Style w:val="grame"/>
                <w:rFonts w:ascii="Arial Narrow" w:hAnsi="Arial Narrow"/>
                <w:sz w:val="16"/>
                <w:szCs w:val="16"/>
              </w:rPr>
              <w:t>229040033001</w:t>
            </w:r>
          </w:p>
        </w:tc>
        <w:tc>
          <w:tcPr>
            <w:tcW w:w="5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Edirne</w:t>
            </w:r>
          </w:p>
        </w:tc>
        <w:tc>
          <w:tcPr>
            <w:tcW w:w="5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İpsala</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Yeni Karpuzlu Beldesi Paşalı Mevkii</w:t>
            </w:r>
          </w:p>
        </w:tc>
        <w:tc>
          <w:tcPr>
            <w:tcW w:w="5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Tarla</w:t>
            </w:r>
          </w:p>
        </w:tc>
        <w:tc>
          <w:tcPr>
            <w:tcW w:w="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4576/A</w:t>
            </w:r>
          </w:p>
        </w:tc>
        <w:tc>
          <w:tcPr>
            <w:tcW w:w="6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242 ada</w:t>
            </w:r>
          </w:p>
          <w:p w:rsidR="00851EAD" w:rsidRDefault="00851EAD">
            <w:pPr>
              <w:spacing w:line="240" w:lineRule="atLeast"/>
              <w:jc w:val="center"/>
              <w:rPr>
                <w:sz w:val="20"/>
                <w:szCs w:val="20"/>
              </w:rPr>
            </w:pPr>
            <w:r>
              <w:rPr>
                <w:rFonts w:ascii="Arial Narrow" w:hAnsi="Arial Narrow"/>
                <w:sz w:val="16"/>
                <w:szCs w:val="16"/>
              </w:rPr>
              <w:t>3 parsel</w:t>
            </w:r>
          </w:p>
        </w:tc>
        <w:tc>
          <w:tcPr>
            <w:tcW w:w="5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4576</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4704052,80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2.116.824,00</w:t>
            </w:r>
          </w:p>
        </w:tc>
        <w:tc>
          <w:tcPr>
            <w:tcW w:w="7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63.505,00</w:t>
            </w:r>
          </w:p>
        </w:tc>
        <w:tc>
          <w:tcPr>
            <w:tcW w:w="8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423.365,00</w:t>
            </w:r>
          </w:p>
        </w:tc>
        <w:tc>
          <w:tcPr>
            <w:tcW w:w="8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24.03.2015</w:t>
            </w:r>
          </w:p>
        </w:tc>
        <w:tc>
          <w:tcPr>
            <w:tcW w:w="5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1EAD" w:rsidRDefault="00851EAD">
            <w:pPr>
              <w:spacing w:line="240" w:lineRule="atLeast"/>
              <w:jc w:val="center"/>
              <w:rPr>
                <w:sz w:val="20"/>
                <w:szCs w:val="20"/>
              </w:rPr>
            </w:pPr>
            <w:r>
              <w:rPr>
                <w:rFonts w:ascii="Arial Narrow" w:hAnsi="Arial Narrow"/>
                <w:sz w:val="16"/>
                <w:szCs w:val="16"/>
              </w:rPr>
              <w:t>14.00</w:t>
            </w:r>
          </w:p>
        </w:tc>
      </w:tr>
    </w:tbl>
    <w:p w:rsidR="00851EAD" w:rsidRDefault="00851EAD" w:rsidP="00851EAD">
      <w:pPr>
        <w:spacing w:line="240" w:lineRule="atLeast"/>
        <w:ind w:firstLine="567"/>
        <w:jc w:val="both"/>
        <w:rPr>
          <w:color w:val="000000"/>
          <w:sz w:val="20"/>
          <w:szCs w:val="20"/>
        </w:rPr>
      </w:pPr>
      <w:r>
        <w:rPr>
          <w:color w:val="000000"/>
          <w:sz w:val="18"/>
          <w:szCs w:val="18"/>
        </w:rPr>
        <w:t> </w:t>
      </w:r>
    </w:p>
    <w:p w:rsidR="00851EAD" w:rsidRDefault="00851EAD" w:rsidP="00851EAD">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 Yukarıda her türlü vasfı yazılı taşınmazlar 2886 Sayılı Devlet İhale Kanununun 45. Maddesine göre</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tarihinde listede hizasında gösterilen muhammen bedelleri üzerinden İhalede oluşan bedelin ihale tarihinden 20.11.2015 tarihine kadar geçerli olması, mukavele anında 1. Taksitin</w:t>
      </w:r>
      <w:r>
        <w:rPr>
          <w:rStyle w:val="apple-converted-space"/>
          <w:color w:val="000000"/>
          <w:sz w:val="18"/>
          <w:szCs w:val="18"/>
        </w:rPr>
        <w:t> </w:t>
      </w:r>
      <w:r>
        <w:rPr>
          <w:color w:val="000000"/>
          <w:spacing w:val="4"/>
          <w:sz w:val="18"/>
          <w:szCs w:val="18"/>
        </w:rPr>
        <w:t>peşin 2. Taksitin Kasım ayının 5. günü mesai saati içerisinde ödenmesi, müteakip dönemlerde ilk taksitin Mart Ayının 5. günü mesai saati içerisinde,</w:t>
      </w:r>
      <w:r>
        <w:rPr>
          <w:rStyle w:val="apple-converted-space"/>
          <w:color w:val="000000"/>
          <w:sz w:val="18"/>
          <w:szCs w:val="18"/>
        </w:rPr>
        <w:t> </w:t>
      </w:r>
      <w:r>
        <w:rPr>
          <w:color w:val="000000"/>
          <w:sz w:val="18"/>
          <w:szCs w:val="18"/>
        </w:rPr>
        <w:t>2. Taksitin Kasım ayının 5. günü mesai saati içerisinde ödenmesi, 20 Kasım dan 20 Kasım’a devam edecek olan müteakip yıllara (dönemler) ait kira bedelleri ise her yılın kirası bir önceki yılın kirasının Türkiye İstatistik Kurumunca Yayımlanan Üretici Fiat Endeksi Üretici Fiyat Endeksi “12 aylık ortalamalara göre değişim %” oranında artırılarak bulunacak olan ve emsal ve rayiç bedelden aşağı olmamak üzere tespit edilecek bedel üzerinden olmak kaydıyla 3 yıllığına (20/11/2017 tarihine kadar) açık artırma suretiyle 2886 Sayılı Devlet İhale Kanunu hükümlerine göre kiraya verilmesine;</w:t>
      </w:r>
    </w:p>
    <w:p w:rsidR="00851EAD" w:rsidRDefault="00851EAD" w:rsidP="00851EAD">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 açık arttırma suretiyle</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tarihinde saat: 14:00’de Edirne Vakıflar Bölge Müdürlüğünde (Çavuşbey Mahallesi, Horozlu bayırı caddesi, Şah Melek Çıkmaz Sokak No: 2 - Valilik yerleşkesinin köşesinde) yapılacak, kiraya verilecek taşınmazlarla ilgili şartname mesai gün ve saatlerinde idare binasında görülebilir. İdaremize borcu bulunanlar ile mahkemelerde hukuki ihtilafı bulunan talipliler kesinlikle ihaleye alınmayacaktır.</w:t>
      </w:r>
    </w:p>
    <w:p w:rsidR="00851EAD" w:rsidRDefault="00851EAD" w:rsidP="00851EAD">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Taşınmazların ihalelerine son müracaat tarihi</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son müracaat saati ise 11:00’dir. Müracaat tarihinden ve saatinden sonra yapılan müracaatlar kabul edilmeyecektir.</w:t>
      </w:r>
    </w:p>
    <w:p w:rsidR="00851EAD" w:rsidRDefault="00851EAD" w:rsidP="00851EAD">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İlana yazılmayan bilgiler şartnamede mevcut olup istekliler şartnamenin bütün usul ve esaslarına uymak zorundadır. İhaleye giren gerçek ve tüzel kişiler bütün bu şartları peşinen kabul ve taahhüt etmiş sayılır. Posta ve faks ile yapılacak müracaatlar kabul edilmeyecektir.</w:t>
      </w:r>
    </w:p>
    <w:p w:rsidR="00851EAD" w:rsidRDefault="00851EAD" w:rsidP="00851EAD">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 Taşınmazlarda ihale bedeli 1. Taksiti mukavele anında 2. Taksit 05.11.2015 tarihinde olmak üzere tahsil edilecektir. Mukavele anında 2. Taksit tutarı kadar 2886 sayılı D.İ.K. 26. Maddesinde belirtilen, teminat olarak kabul edilebilen değerlere uygun teminat alınacaktır. Teminat mektubu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ve süresiz olacaktır.</w:t>
      </w:r>
    </w:p>
    <w:p w:rsidR="00851EAD" w:rsidRDefault="00851EAD" w:rsidP="00851EAD">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 Gazete ilan ücreti vs. masraflar alıcıya ait olup peşin alınacaktır. İstekliler gerçek kişi ise; nüfus cüzdanı fotokopisi ile T.C. kimlik numarasını ibraz edeceklerdir. Şirket olarak katılacaklar ise; 2014 tarihli, tasdikli ticaret</w:t>
      </w:r>
      <w:r>
        <w:rPr>
          <w:rStyle w:val="apple-converted-space"/>
          <w:color w:val="000000"/>
          <w:sz w:val="18"/>
          <w:szCs w:val="18"/>
        </w:rPr>
        <w:t> </w:t>
      </w:r>
      <w:r>
        <w:rPr>
          <w:rStyle w:val="grame"/>
          <w:color w:val="000000"/>
          <w:sz w:val="18"/>
          <w:szCs w:val="18"/>
        </w:rPr>
        <w:t>yada</w:t>
      </w:r>
      <w:r>
        <w:rPr>
          <w:rStyle w:val="apple-converted-space"/>
          <w:color w:val="000000"/>
          <w:sz w:val="18"/>
          <w:szCs w:val="18"/>
        </w:rPr>
        <w:t> </w:t>
      </w:r>
      <w:r>
        <w:rPr>
          <w:color w:val="000000"/>
          <w:sz w:val="18"/>
          <w:szCs w:val="18"/>
        </w:rPr>
        <w:t>sanayi odası sicil kaydı, faaliyet belgesi, şirket ana sözleşmesi, yetki belgesi ve imza sirkülerinin aslı veya noterden tasdikli suretleri ile şirketin vergi numarasını ibraz edeceklerdir.</w:t>
      </w:r>
      <w:r>
        <w:rPr>
          <w:rStyle w:val="grame"/>
          <w:color w:val="000000"/>
          <w:sz w:val="18"/>
          <w:szCs w:val="18"/>
        </w:rPr>
        <w:t>Vekaleten</w:t>
      </w:r>
      <w:r>
        <w:rPr>
          <w:rStyle w:val="apple-converted-space"/>
          <w:color w:val="000000"/>
          <w:sz w:val="18"/>
          <w:szCs w:val="18"/>
        </w:rPr>
        <w:t> </w:t>
      </w:r>
      <w:r>
        <w:rPr>
          <w:color w:val="000000"/>
          <w:sz w:val="18"/>
          <w:szCs w:val="18"/>
        </w:rPr>
        <w:t>iştirak ediyor ise; vekaleten iştirak edenin noter tasdikli vekaletname ile müracaat etmesi gerekmektedir. Ortak müracaatçılar ise; noter tasdikli ortak girişim beyannamesi, tüm ortaklara ait muhtarlıktan 2015 tarihli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nüfus cüzdan sureti/ örneği ile T.C. kimlik numarasını ibraz edeceklerdir. İsteklilerin istenen belgelerle birlikte geçici ve ek teminat dekontunun en geç</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Salı günü saat 11,00’e kadar Bölge Müdürlüğümüz Yatırım ve Emlak Servisine teslim edilmesi gerekmektedir. Geçici ve ek teminatlarının tamamını Bölge Müdürlüğümüzün Vakıfbank Edirne şubesindeki TR090001500158007287988565 nolu hesabına (teminatlar yatırılırken taşınmazın parsel, kapı numaraları ile mevkii belirtilecektir ) yatırılacaktır.</w:t>
      </w:r>
    </w:p>
    <w:p w:rsidR="00851EAD" w:rsidRDefault="00851EAD" w:rsidP="00851EAD">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Geçici ve ek teminatların geri ödemeleri katılımcıların banka hesap numaralarına aktarılacaktır.(Banka hesap Numarası ve İban Numarası olmayanların her hangi bir bankadan hesap açtırması gerekmektedir)</w:t>
      </w:r>
    </w:p>
    <w:p w:rsidR="00851EAD" w:rsidRDefault="00851EAD" w:rsidP="00851EAD">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Bu ilan kiralık yer talebi ile ilgili, İdareye verilen dilekçe sahiplerine duyuru mahiyetinde olup, ihaleye giren şahıs taşınmazı görerek ihaleye girmiş sayılacaktır.</w:t>
      </w:r>
    </w:p>
    <w:p w:rsidR="00851EAD" w:rsidRDefault="00851EAD" w:rsidP="00851EAD">
      <w:pPr>
        <w:spacing w:line="240" w:lineRule="atLeast"/>
        <w:ind w:firstLine="567"/>
        <w:jc w:val="both"/>
        <w:rPr>
          <w:color w:val="000000"/>
          <w:sz w:val="20"/>
          <w:szCs w:val="20"/>
        </w:rPr>
      </w:pPr>
      <w:r>
        <w:rPr>
          <w:color w:val="000000"/>
          <w:sz w:val="18"/>
          <w:szCs w:val="18"/>
        </w:rPr>
        <w:t>9</w:t>
      </w:r>
      <w:r>
        <w:rPr>
          <w:rStyle w:val="apple-converted-space"/>
          <w:color w:val="000000"/>
          <w:sz w:val="18"/>
          <w:szCs w:val="18"/>
        </w:rPr>
        <w:t> </w:t>
      </w:r>
      <w:r>
        <w:rPr>
          <w:color w:val="000000"/>
          <w:sz w:val="18"/>
          <w:szCs w:val="18"/>
        </w:rPr>
        <w:t>- İhale uhdesinde kalan isteklinin süresi içerisinde İdaremizle kira kontratosu yapmaması halinde geçici teminatla birlikte ek teminatta bütçeye irad kaydedilir.</w:t>
      </w:r>
    </w:p>
    <w:p w:rsidR="00851EAD" w:rsidRDefault="00851EAD" w:rsidP="00851EAD">
      <w:pPr>
        <w:spacing w:line="240" w:lineRule="atLeast"/>
        <w:ind w:firstLine="567"/>
        <w:jc w:val="both"/>
        <w:rPr>
          <w:color w:val="000000"/>
          <w:sz w:val="20"/>
          <w:szCs w:val="20"/>
        </w:rPr>
      </w:pPr>
      <w:r>
        <w:rPr>
          <w:color w:val="000000"/>
          <w:sz w:val="18"/>
          <w:szCs w:val="18"/>
        </w:rPr>
        <w:t>10</w:t>
      </w:r>
      <w:r>
        <w:rPr>
          <w:rStyle w:val="apple-converted-space"/>
          <w:color w:val="000000"/>
          <w:sz w:val="18"/>
          <w:szCs w:val="18"/>
        </w:rPr>
        <w:t> </w:t>
      </w:r>
      <w:r>
        <w:rPr>
          <w:color w:val="000000"/>
          <w:sz w:val="18"/>
          <w:szCs w:val="18"/>
        </w:rPr>
        <w:t>- Bir ihale bitmeden diğerine geçilmeyecektir. İhale komisyonu listedeki sıraya bağlı kalmak zorunda değildir.</w:t>
      </w:r>
    </w:p>
    <w:p w:rsidR="00851EAD" w:rsidRDefault="00851EAD" w:rsidP="00851EAD">
      <w:pPr>
        <w:spacing w:line="240" w:lineRule="atLeast"/>
        <w:ind w:firstLine="567"/>
        <w:jc w:val="both"/>
        <w:rPr>
          <w:color w:val="000000"/>
          <w:sz w:val="20"/>
          <w:szCs w:val="20"/>
        </w:rPr>
      </w:pPr>
      <w:r>
        <w:rPr>
          <w:color w:val="000000"/>
          <w:sz w:val="18"/>
          <w:szCs w:val="18"/>
        </w:rPr>
        <w:lastRenderedPageBreak/>
        <w:t>11</w:t>
      </w:r>
      <w:r>
        <w:rPr>
          <w:rStyle w:val="apple-converted-space"/>
          <w:color w:val="000000"/>
          <w:sz w:val="18"/>
          <w:szCs w:val="18"/>
        </w:rPr>
        <w:t> </w:t>
      </w:r>
      <w:r>
        <w:rPr>
          <w:color w:val="000000"/>
          <w:sz w:val="18"/>
          <w:szCs w:val="18"/>
        </w:rPr>
        <w:t>- Taşınmazlar harici parselasyonlu olup, sınırlarda ihtilaf olması veya parselasyonlu taşınmazda sınırların yeniden tespit edilmesi gerektiğinde idaremizce tanzim edilen ölçü krokisindeki koordinatlar esas alınarak kiracısınca serbest çalışan harita mühendisine aplikasyon işlemi yaptırılacaktır.</w:t>
      </w:r>
    </w:p>
    <w:p w:rsidR="00851EAD" w:rsidRDefault="00851EAD" w:rsidP="00851EAD">
      <w:pPr>
        <w:spacing w:line="240" w:lineRule="atLeast"/>
        <w:ind w:firstLine="567"/>
        <w:jc w:val="both"/>
        <w:rPr>
          <w:color w:val="000000"/>
          <w:sz w:val="20"/>
          <w:szCs w:val="20"/>
        </w:rPr>
      </w:pPr>
      <w:r>
        <w:rPr>
          <w:color w:val="000000"/>
          <w:sz w:val="18"/>
          <w:szCs w:val="18"/>
        </w:rPr>
        <w:t>12</w:t>
      </w:r>
      <w:r>
        <w:rPr>
          <w:rStyle w:val="apple-converted-space"/>
          <w:color w:val="000000"/>
          <w:sz w:val="18"/>
          <w:szCs w:val="18"/>
        </w:rPr>
        <w:t> </w:t>
      </w:r>
      <w:r>
        <w:rPr>
          <w:color w:val="000000"/>
          <w:sz w:val="18"/>
          <w:szCs w:val="18"/>
        </w:rPr>
        <w:t>- İdaremiz ihaleyi yapıp yapmamakta ve en uygun bedeli tespitte serbesttir. İLAN OLUNUR.</w:t>
      </w:r>
    </w:p>
    <w:p w:rsidR="00851EAD" w:rsidRDefault="00851EAD" w:rsidP="00851EAD">
      <w:pPr>
        <w:spacing w:line="240" w:lineRule="atLeast"/>
        <w:ind w:firstLine="567"/>
        <w:jc w:val="both"/>
        <w:rPr>
          <w:color w:val="000000"/>
          <w:sz w:val="20"/>
          <w:szCs w:val="20"/>
        </w:rPr>
      </w:pPr>
      <w:r>
        <w:rPr>
          <w:color w:val="000000"/>
          <w:sz w:val="18"/>
          <w:szCs w:val="18"/>
        </w:rPr>
        <w:t>Bilgi için. Tel:</w:t>
      </w:r>
      <w:r>
        <w:rPr>
          <w:rStyle w:val="apple-converted-space"/>
          <w:color w:val="000000"/>
          <w:sz w:val="18"/>
          <w:szCs w:val="18"/>
        </w:rPr>
        <w:t> </w:t>
      </w:r>
      <w:r>
        <w:rPr>
          <w:rStyle w:val="grame"/>
          <w:color w:val="000000"/>
          <w:sz w:val="18"/>
          <w:szCs w:val="18"/>
        </w:rPr>
        <w:t>(</w:t>
      </w:r>
      <w:r>
        <w:rPr>
          <w:color w:val="000000"/>
          <w:sz w:val="18"/>
          <w:szCs w:val="18"/>
        </w:rPr>
        <w:t>0284 2253206 - (Faks:0284 2251099) - (e- posta: edirne@vgm.gov.tr-Elektronik Ağ: www.vgm.gov.tr )</w:t>
      </w:r>
    </w:p>
    <w:p w:rsidR="00851EAD" w:rsidRDefault="00851EAD" w:rsidP="00851EAD">
      <w:pPr>
        <w:spacing w:line="240" w:lineRule="atLeast"/>
        <w:ind w:firstLine="567"/>
        <w:jc w:val="right"/>
        <w:rPr>
          <w:color w:val="000000"/>
          <w:sz w:val="20"/>
          <w:szCs w:val="20"/>
        </w:rPr>
      </w:pPr>
      <w:r>
        <w:rPr>
          <w:color w:val="000000"/>
          <w:sz w:val="18"/>
          <w:szCs w:val="18"/>
        </w:rPr>
        <w:t>1736/1-1</w:t>
      </w:r>
    </w:p>
    <w:p w:rsidR="00851EAD" w:rsidRDefault="00851EAD" w:rsidP="00851EA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E28E6" w:rsidRDefault="00FE28E6" w:rsidP="00851EAD"/>
    <w:p w:rsidR="00E6337C" w:rsidRDefault="00E6337C" w:rsidP="00851EAD"/>
    <w:p w:rsidR="00E6337C" w:rsidRDefault="00E6337C" w:rsidP="00851EAD">
      <w:pPr>
        <w:rPr>
          <w:color w:val="000000"/>
          <w:sz w:val="18"/>
          <w:szCs w:val="18"/>
        </w:rPr>
      </w:pPr>
    </w:p>
    <w:p w:rsidR="00B21045" w:rsidRPr="00851EAD" w:rsidRDefault="00B21045" w:rsidP="00851EAD">
      <w:bookmarkStart w:id="0" w:name="_GoBack"/>
      <w:bookmarkEnd w:id="0"/>
    </w:p>
    <w:sectPr w:rsidR="00B21045" w:rsidRPr="00851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FB" w:rsidRDefault="001F7FFB" w:rsidP="00371B9B">
      <w:pPr>
        <w:spacing w:after="0" w:line="240" w:lineRule="auto"/>
      </w:pPr>
      <w:r>
        <w:separator/>
      </w:r>
    </w:p>
  </w:endnote>
  <w:endnote w:type="continuationSeparator" w:id="0">
    <w:p w:rsidR="001F7FFB" w:rsidRDefault="001F7FF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FB" w:rsidRDefault="001F7FFB" w:rsidP="00371B9B">
      <w:pPr>
        <w:spacing w:after="0" w:line="240" w:lineRule="auto"/>
      </w:pPr>
      <w:r>
        <w:separator/>
      </w:r>
    </w:p>
  </w:footnote>
  <w:footnote w:type="continuationSeparator" w:id="0">
    <w:p w:rsidR="001F7FFB" w:rsidRDefault="001F7FFB"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1F7FFB"/>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D3381"/>
    <w:rsid w:val="00AE383B"/>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E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120E-8425-4704-9EB8-532F789E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2</Pages>
  <Words>761</Words>
  <Characters>4342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418</cp:revision>
  <dcterms:created xsi:type="dcterms:W3CDTF">2015-01-01T07:03:00Z</dcterms:created>
  <dcterms:modified xsi:type="dcterms:W3CDTF">2015-03-13T09:15:00Z</dcterms:modified>
</cp:coreProperties>
</file>